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Verdana" w:cs="Verdana" w:hAnsi="Verdana" w:eastAsia="Verdana"/>
          <w:sz w:val="48"/>
          <w:szCs w:val="48"/>
        </w:rPr>
      </w:pPr>
      <w:r>
        <w:rPr>
          <w:rFonts w:ascii="Verdana" w:hAnsi="Verdana"/>
          <w:sz w:val="48"/>
          <w:szCs w:val="48"/>
          <w:rtl w:val="0"/>
          <w:lang w:val="en-US"/>
        </w:rPr>
        <w:t>IT service continuity plan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[Company name]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[Team/Service]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[Building]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[Address]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[Address]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[Postal code] [City]</w:t>
      </w: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[Country]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[webaddress.com]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Version [0.0.0]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en-US"/>
        </w:rPr>
        <w:t>Date [dd/mm/yyyy]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Next review date [dd/mm/yyyy]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Table of content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Document history, change log</w:t>
        <w:tab/>
        <w:tab/>
        <w:tab/>
        <w:tab/>
        <w:tab/>
        <w:tab/>
        <w:tab/>
        <w:tab/>
        <w:t>2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Plan owner</w:t>
        <w:tab/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Plan distribution</w:t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Plan storage</w:t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Plan review data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3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Scope and objectives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4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Recovery time objective (RTO)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>4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Recovery point objective (RPO)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>4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Activation Team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5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Recovery Team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5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Responsibility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5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s-ES_tradnl"/>
        </w:rPr>
        <w:t>Dependencies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6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Expected response time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>6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Recovery strategy initial recovery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>6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Recovery scenarios if initial recovery fails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>7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Return to operations</w:t>
      </w:r>
      <w:r>
        <w:rPr>
          <w:rFonts w:ascii="Verdana" w:cs="Verdana" w:hAnsi="Verdana" w:eastAsia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8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Disclaimer</w:t>
        <w:tab/>
        <w:tab/>
        <w:tab/>
        <w:tab/>
        <w:tab/>
        <w:tab/>
        <w:tab/>
        <w:tab/>
        <w:tab/>
        <w:tab/>
        <w:tab/>
        <w:tab/>
        <w:t>8</w:t>
      </w:r>
    </w:p>
    <w:p>
      <w:pPr>
        <w:pStyle w:val="Body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</w:rPr>
        <w:t>E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nd of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IT 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service continuity plan</w:t>
        <w:tab/>
        <w:tab/>
        <w:tab/>
        <w:tab/>
        <w:tab/>
        <w:tab/>
        <w:tab/>
        <w:t>8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Document history, change log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(Whenever the content of this plan is changed, mark the changes to have a clear audit trail)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1605"/>
        <w:gridCol w:w="5821"/>
        <w:gridCol w:w="218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Date</w:t>
            </w:r>
          </w:p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Description of change &amp; reason</w:t>
            </w:r>
          </w:p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Author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16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Plan owner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(It is important to assign a person with the overall responsibility for the plan to make sure it is maintained and reviewed)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Name of plan owner, role/title : [First name last name], [role/title]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The plan owner is the owner of this </w:t>
      </w:r>
      <w:r>
        <w:rPr>
          <w:rFonts w:ascii="Verdana" w:hAnsi="Verdana"/>
          <w:sz w:val="24"/>
          <w:szCs w:val="24"/>
          <w:rtl w:val="0"/>
          <w:lang w:val="en-US"/>
        </w:rPr>
        <w:t>IT service continuity plan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and responsible for that it is reviewed, updated and tested in accordance with internal business continuity requirements.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Plan distribution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(The plan can contain confidential sensitive company and personal data, it is therefore important to keep the document secure and keep track of who has received the plan)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4807"/>
        <w:gridCol w:w="4805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Role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8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Plan storage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(As good practice save/store multiple copies as a contingency arrangement, a hard copy, saved to a memory stick or a secured external location, in case of ICT failure)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Storage place or file path to plan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Plan review data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(To make sure all information is up to date, names, phone numbers, procedures etc)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This plan will be reviewed and updated each [x] month, next review is due date see front page.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Scope and objectives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(The purpose of this plan, service area and service offering that depends on the service at risk and the prioritising of the recovery during an emergency)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Recovery time objective (RTO)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(The maximum length of time IT processes can be down or non accessible before affecting the business)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Recovery point objective (RPO)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(The maximum interval of data loss since last IT service backup where the business still can operate with normal business processes)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Activation Team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 xml:space="preserve">(A list of members that are able to activate the </w:t>
      </w:r>
      <w:r>
        <w:rPr>
          <w:rFonts w:ascii="Verdana" w:hAnsi="Verdana"/>
          <w:i w:val="1"/>
          <w:iCs w:val="1"/>
          <w:rtl w:val="0"/>
          <w:lang w:val="en-US"/>
        </w:rPr>
        <w:t>IT service continuity plan</w:t>
      </w:r>
      <w:r>
        <w:rPr>
          <w:rFonts w:ascii="Verdana" w:hAnsi="Verdana"/>
          <w:i w:val="1"/>
          <w:iCs w:val="1"/>
          <w:rtl w:val="0"/>
          <w:lang w:val="en-US"/>
        </w:rPr>
        <w:t>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3204"/>
        <w:gridCol w:w="3204"/>
        <w:gridCol w:w="320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Role</w:t>
            </w:r>
          </w:p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Mobile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Recovery Team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 xml:space="preserve">(A list of members of the </w:t>
      </w:r>
      <w:r>
        <w:rPr>
          <w:rFonts w:ascii="Verdana" w:hAnsi="Verdana"/>
          <w:i w:val="1"/>
          <w:iCs w:val="1"/>
          <w:rtl w:val="0"/>
          <w:lang w:val="en-US"/>
        </w:rPr>
        <w:t>IT service continuity plan</w:t>
      </w:r>
      <w:r>
        <w:rPr>
          <w:rFonts w:ascii="Verdana" w:hAnsi="Verdana"/>
          <w:i w:val="1"/>
          <w:iCs w:val="1"/>
          <w:rtl w:val="0"/>
          <w:lang w:val="en-US"/>
        </w:rPr>
        <w:t xml:space="preserve"> team that are able to efficiently recover services according to the plan)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3204"/>
        <w:gridCol w:w="3204"/>
        <w:gridCol w:w="320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Name</w:t>
            </w:r>
          </w:p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Role</w:t>
            </w:r>
          </w:p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Mobile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Responsibility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(Description of responsibility for key personnel and authorisation to spend more resources than the normal staffing and financial limit in case of emergency incidents)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Dependencies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(Outline what part of business and processes are depending on applications, services or technical components to recover from an ICT emergency)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Expected response time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(Identify and document expected response time for each step, process, personal and external third-party services)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Recovery strategy initial actions in headlines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(Identify and document all resource requirements and determine a plausible recovery strategy, based on the need of the business, headlines with short explanation)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27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Recovery scenarios initial actions in details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 xml:space="preserve">(Outline a detailed plan of </w:t>
      </w:r>
      <w:r>
        <w:rPr>
          <w:rFonts w:ascii="Verdana" w:hAnsi="Verdana" w:hint="default"/>
          <w:i w:val="1"/>
          <w:iCs w:val="1"/>
          <w:rtl w:val="0"/>
          <w:lang w:val="en-US"/>
        </w:rPr>
        <w:t>“</w:t>
      </w:r>
      <w:r>
        <w:rPr>
          <w:rFonts w:ascii="Verdana" w:hAnsi="Verdana"/>
          <w:i w:val="1"/>
          <w:iCs w:val="1"/>
          <w:rtl w:val="0"/>
          <w:lang w:val="en-US"/>
        </w:rPr>
        <w:t xml:space="preserve">Recovery strategy initial </w:t>
      </w:r>
      <w:r>
        <w:rPr>
          <w:rFonts w:ascii="Verdana" w:hAnsi="Verdana"/>
          <w:i w:val="1"/>
          <w:iCs w:val="1"/>
          <w:rtl w:val="0"/>
          <w:lang w:val="en-US"/>
        </w:rPr>
        <w:t>actions</w:t>
      </w:r>
      <w:r>
        <w:rPr>
          <w:rFonts w:ascii="Verdana" w:hAnsi="Verdana"/>
          <w:i w:val="1"/>
          <w:iCs w:val="1"/>
          <w:rtl w:val="0"/>
          <w:lang w:val="en-US"/>
        </w:rPr>
        <w:t xml:space="preserve"> in headlines</w:t>
      </w:r>
      <w:r>
        <w:rPr>
          <w:rFonts w:ascii="Verdana" w:hAnsi="Verdana" w:hint="default"/>
          <w:i w:val="1"/>
          <w:iCs w:val="1"/>
          <w:rtl w:val="0"/>
          <w:lang w:val="en-US"/>
        </w:rPr>
        <w:t xml:space="preserve">” </w:t>
      </w:r>
      <w:r>
        <w:rPr>
          <w:rFonts w:ascii="Verdana" w:hAnsi="Verdana"/>
          <w:i w:val="1"/>
          <w:iCs w:val="1"/>
          <w:rtl w:val="0"/>
          <w:lang w:val="en-US"/>
        </w:rPr>
        <w:t>listed down to the smallest detail including manual workarounds)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Return to operations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(List the process going from the emergency disaster recovery scenario and back to normal operation of all ICT depending processes)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9612"/>
      </w:tblGrid>
      <w:tr>
        <w:tblPrEx>
          <w:shd w:val="clear" w:color="auto" w:fill="auto"/>
        </w:tblPrEx>
        <w:trPr>
          <w:trHeight w:val="9920" w:hRule="atLeast"/>
        </w:trPr>
        <w:tc>
          <w:tcPr>
            <w:tcW w:type="dxa" w:w="96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Disclaimer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Any information and templates provided by Byfrost www.byfrost.com are for references only and therefore strictly used at your own risk.</w:t>
      </w: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jc w:val="center"/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End of IT service continuity plan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sz w:val="20"/>
        <w:szCs w:val="20"/>
        <w:rtl w:val="0"/>
        <w:lang w:val="en-US"/>
      </w:rPr>
      <w:t xml:space="preserve">More information : </w:t>
    </w:r>
    <w:r>
      <w:rPr>
        <w:rFonts w:ascii="Verdana" w:hAnsi="Verdana"/>
        <w:sz w:val="20"/>
        <w:szCs w:val="20"/>
        <w:rtl w:val="0"/>
        <w:lang w:val="en-US"/>
      </w:rPr>
      <w:t>www.byfrost.com/business-continuity.html</w:t>
      <w:tab/>
      <w:tab/>
    </w:r>
    <w:r>
      <w:rPr>
        <w:rFonts w:ascii="Verdana" w:hAnsi="Verdana"/>
        <w:sz w:val="24"/>
        <w:szCs w:val="24"/>
        <w:rtl w:val="0"/>
        <w:lang w:val="en-US"/>
      </w:rPr>
      <w:t xml:space="preserve">Page </w:t>
    </w:r>
    <w:r>
      <w:rPr>
        <w:rFonts w:ascii="Verdana" w:cs="Verdana" w:hAnsi="Verdana" w:eastAsia="Verdana"/>
        <w:sz w:val="24"/>
        <w:szCs w:val="24"/>
      </w:rPr>
      <w:fldChar w:fldCharType="begin" w:fldLock="0"/>
    </w:r>
    <w:r>
      <w:rPr>
        <w:rFonts w:ascii="Verdana" w:cs="Verdana" w:hAnsi="Verdana" w:eastAsia="Verdana"/>
        <w:sz w:val="24"/>
        <w:szCs w:val="24"/>
      </w:rPr>
      <w:instrText xml:space="preserve"> PAGE </w:instrText>
    </w:r>
    <w:r>
      <w:rPr>
        <w:rFonts w:ascii="Verdana" w:cs="Verdana" w:hAnsi="Verdana" w:eastAsia="Verdana"/>
        <w:sz w:val="24"/>
        <w:szCs w:val="24"/>
      </w:rPr>
      <w:fldChar w:fldCharType="separate" w:fldLock="0"/>
    </w:r>
    <w:r>
      <w:rPr>
        <w:rFonts w:ascii="Verdana" w:cs="Verdana" w:hAnsi="Verdana" w:eastAsia="Verdana"/>
        <w:sz w:val="24"/>
        <w:szCs w:val="24"/>
      </w:rPr>
    </w:r>
    <w:r>
      <w:rPr>
        <w:rFonts w:ascii="Verdana" w:cs="Verdana" w:hAnsi="Verdana" w:eastAsia="Verdana"/>
        <w:sz w:val="24"/>
        <w:szCs w:val="24"/>
      </w:rPr>
      <w:fldChar w:fldCharType="end" w:fldLock="0"/>
    </w:r>
    <w:r>
      <w:rPr>
        <w:rFonts w:ascii="Verdana" w:hAnsi="Verdana"/>
        <w:sz w:val="24"/>
        <w:szCs w:val="24"/>
        <w:rtl w:val="0"/>
        <w:lang w:val="en-US"/>
      </w:rPr>
      <w:t xml:space="preserve"> of </w:t>
    </w:r>
    <w:r>
      <w:rPr>
        <w:rFonts w:ascii="Verdana" w:cs="Verdana" w:hAnsi="Verdana" w:eastAsia="Verdana"/>
        <w:sz w:val="24"/>
        <w:szCs w:val="24"/>
      </w:rPr>
      <w:fldChar w:fldCharType="begin" w:fldLock="0"/>
    </w:r>
    <w:r>
      <w:rPr>
        <w:rFonts w:ascii="Verdana" w:cs="Verdana" w:hAnsi="Verdana" w:eastAsia="Verdana"/>
        <w:sz w:val="24"/>
        <w:szCs w:val="24"/>
      </w:rPr>
      <w:instrText xml:space="preserve"> NUMPAGES </w:instrText>
    </w:r>
    <w:r>
      <w:rPr>
        <w:rFonts w:ascii="Verdana" w:cs="Verdana" w:hAnsi="Verdana" w:eastAsia="Verdana"/>
        <w:sz w:val="24"/>
        <w:szCs w:val="24"/>
      </w:rPr>
      <w:fldChar w:fldCharType="separate" w:fldLock="0"/>
    </w:r>
    <w:r>
      <w:rPr>
        <w:rFonts w:ascii="Verdana" w:cs="Verdana" w:hAnsi="Verdana" w:eastAsia="Verdana"/>
        <w:sz w:val="24"/>
        <w:szCs w:val="24"/>
      </w:rPr>
    </w:r>
    <w:r>
      <w:rPr>
        <w:rFonts w:ascii="Verdana" w:cs="Verdana" w:hAnsi="Verdana" w:eastAsia="Verdana"/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